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815" w:rsidRDefault="00AE2815" w:rsidP="00AE2815">
      <w:pPr>
        <w:tabs>
          <w:tab w:val="left" w:pos="3930"/>
        </w:tabs>
        <w:contextualSpacing/>
      </w:pPr>
      <w:r>
        <w:tab/>
      </w:r>
    </w:p>
    <w:p w:rsidR="00AE2815" w:rsidRDefault="00AE2815" w:rsidP="00AE2815">
      <w:pPr>
        <w:jc w:val="center"/>
      </w:pPr>
    </w:p>
    <w:p w:rsidR="00AE2815" w:rsidRDefault="00AE2815" w:rsidP="00AE2815">
      <w:pPr>
        <w:jc w:val="center"/>
      </w:pPr>
    </w:p>
    <w:p w:rsidR="00AE2815" w:rsidRDefault="00AE2815" w:rsidP="00AE2815">
      <w:pPr>
        <w:jc w:val="center"/>
      </w:pPr>
      <w:bookmarkStart w:id="0" w:name="_GoBack"/>
      <w:bookmarkEnd w:id="0"/>
    </w:p>
    <w:p w:rsidR="00AE2815" w:rsidRDefault="00AE2815" w:rsidP="00AE2815">
      <w:pPr>
        <w:jc w:val="center"/>
      </w:pPr>
    </w:p>
    <w:p w:rsidR="00AE2815" w:rsidRDefault="00AE2815" w:rsidP="00AE2815">
      <w:pPr>
        <w:jc w:val="center"/>
      </w:pPr>
    </w:p>
    <w:p w:rsidR="00AE2815" w:rsidRDefault="00AE2815" w:rsidP="00AE2815">
      <w:pPr>
        <w:jc w:val="center"/>
      </w:pPr>
    </w:p>
    <w:p w:rsidR="00AE2815" w:rsidRDefault="00AE2815" w:rsidP="00AE2815">
      <w:pPr>
        <w:jc w:val="center"/>
      </w:pPr>
    </w:p>
    <w:p w:rsidR="00AE2815" w:rsidRDefault="00AE2815" w:rsidP="00AE2815">
      <w:pPr>
        <w:jc w:val="center"/>
      </w:pPr>
      <w:r>
        <w:t>The 1920 Farrow Bank Failure; a Case of Managerial Hubris</w:t>
      </w:r>
    </w:p>
    <w:p w:rsidR="00AE2815" w:rsidRDefault="00AE2815" w:rsidP="00AE2815">
      <w:pPr>
        <w:jc w:val="center"/>
      </w:pPr>
      <w:r>
        <w:t>Name</w:t>
      </w:r>
    </w:p>
    <w:p w:rsidR="00AE2815" w:rsidRDefault="00AE2815" w:rsidP="00AE2815">
      <w:pPr>
        <w:jc w:val="center"/>
      </w:pPr>
      <w:r>
        <w:t>Institution of Affiliation</w:t>
      </w:r>
    </w:p>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Default="00AE2815" w:rsidP="00AE2815"/>
    <w:p w:rsidR="00AE2815" w:rsidRPr="00AE2815" w:rsidRDefault="00AE2815" w:rsidP="00AE2815">
      <w:pPr>
        <w:ind w:firstLine="0"/>
        <w:jc w:val="center"/>
        <w:rPr>
          <w:b/>
        </w:rPr>
      </w:pPr>
      <w:r w:rsidRPr="00AE2815">
        <w:rPr>
          <w:b/>
        </w:rPr>
        <w:lastRenderedPageBreak/>
        <w:t>1</w:t>
      </w:r>
    </w:p>
    <w:p w:rsidR="00AE2815" w:rsidRDefault="00AE2815" w:rsidP="00AE2815">
      <w:r>
        <w:t>Thomas Farrow had a concern of the usury as banks were lending at very high interest rates. He was particularly critical of how the British banks were unwilling to provide for those of limited means. Riding on this culture, in 1901 he formed the mutual credit and deposited bank in Croydon (Hollow, 2014).  When this proved successful, he founded the Farrow bank in 1904. He became the CEO and the managing director. As a result of the success that the bank enjoyed, Thomas began to view himself as one who had excellent management skills and he started to make unilateral decisions. As the bank expanded and he wielded much power, he began to suffer from management hubris. He lost touch with what was happening and was not even involved in the day to day running of the bank. It is said that he would spend much time alone in the boardroom whenever he reported working. The publications about his bank made him like a savior, and the bank's clients seemed to him as if they were in some symbiotic relationship. This made him overly confidence, and this led to the collapse of the bank in 1920 (Hollow, 2014).</w:t>
      </w:r>
    </w:p>
    <w:p w:rsidR="00AE2815" w:rsidRPr="00AC7EA5" w:rsidRDefault="00AE2815" w:rsidP="00AC7EA5">
      <w:pPr>
        <w:ind w:firstLine="0"/>
        <w:jc w:val="center"/>
        <w:rPr>
          <w:b/>
        </w:rPr>
      </w:pPr>
      <w:r w:rsidRPr="00AC7EA5">
        <w:rPr>
          <w:b/>
        </w:rPr>
        <w:t>2</w:t>
      </w:r>
    </w:p>
    <w:p w:rsidR="00AE2815" w:rsidRDefault="00AE2815" w:rsidP="00AE2815">
      <w:r>
        <w:t xml:space="preserve">Managerial hubris is a term used to describe tendencies of managers who seem self-confident. They take decisions that are likely to cast them in the good light while they are not in touch with the reality (Li &amp; Tang, 2010). They have a messianic view of themselves, and they see the world as an environment of casting their power and getting the glory. On the other hand ethical decision making entails action by managers that are deemed responsible under the prevailing business conditions. Moral decisions make sure that the interests of the company are promoted as opposed to those of a single individual. Overall managerial hubris leads to eventual collapse of companies while ethical decision making ensures that the company is kept afloat and </w:t>
      </w:r>
      <w:r>
        <w:lastRenderedPageBreak/>
        <w:t xml:space="preserve">there is growth. This two opposing behaviors makes the business environment to be looked with skepticism and have </w:t>
      </w:r>
      <w:proofErr w:type="spellStart"/>
      <w:r>
        <w:t>lead</w:t>
      </w:r>
      <w:proofErr w:type="spellEnd"/>
      <w:r>
        <w:t xml:space="preserve"> to loss of confidence in the business environment (Li &amp; Tang, 2010).</w:t>
      </w:r>
    </w:p>
    <w:p w:rsidR="00AE2815" w:rsidRPr="00AC7EA5" w:rsidRDefault="00AE2815" w:rsidP="00AC7EA5">
      <w:pPr>
        <w:ind w:firstLine="0"/>
        <w:jc w:val="center"/>
        <w:rPr>
          <w:b/>
        </w:rPr>
      </w:pPr>
      <w:r w:rsidRPr="00AC7EA5">
        <w:rPr>
          <w:b/>
        </w:rPr>
        <w:t>3</w:t>
      </w:r>
    </w:p>
    <w:p w:rsidR="00AE2815" w:rsidRDefault="00AE2815" w:rsidP="00AE2815">
      <w:r>
        <w:t>It would have been hard for the management of Farrow bank to make ethical decisions. This is because of the pressures that were there.</w:t>
      </w:r>
    </w:p>
    <w:p w:rsidR="00AE2815" w:rsidRDefault="00AE2815" w:rsidP="00AE2815">
      <w:r>
        <w:t>One the appointment to the board of directors was mostly not by merit. Most appointments were made as a result of the close relationship that those appointed enjoyed with Mr. Farrow. It would have been hard for them to go against the wishes of their appointive authority because they did not even qualify to be in those positions (Hollow, 2014).</w:t>
      </w:r>
    </w:p>
    <w:p w:rsidR="00AE2815" w:rsidRDefault="00AE2815" w:rsidP="00AE2815">
      <w:r>
        <w:t>Besides, the board of director did not have required knowledge to run the institution as banks. Some of the employees even confessed that they lacked skills to run such organizations. It would, therefore, put pressure on them to make ethical decisions in light of these facts (Hollow, 2014).</w:t>
      </w:r>
    </w:p>
    <w:p w:rsidR="00AE2815" w:rsidRDefault="00AE2815" w:rsidP="00AE2815">
      <w:r>
        <w:t>Also, the C.E.O of the bank Mr.  Farrow is said to have minimal contact with the board and the running of day to day of the bank. In fact, it is said of him that he used to lock himself in the boardroom most of the times when he was in office. This means there was no time where the board would meet and make ethical decisions (Hollow, 2014). Such factors made it hard to make ethical decisions. In the light of the above revelations, it is evident that there was a lot of pressure associated with making ethical decisions in the Farrow bank.</w:t>
      </w:r>
    </w:p>
    <w:p w:rsidR="00AE2815" w:rsidRPr="00AC7EA5" w:rsidRDefault="00AE2815" w:rsidP="00AC7EA5">
      <w:pPr>
        <w:ind w:firstLine="0"/>
        <w:jc w:val="center"/>
        <w:rPr>
          <w:b/>
        </w:rPr>
      </w:pPr>
      <w:r w:rsidRPr="00AC7EA5">
        <w:rPr>
          <w:b/>
        </w:rPr>
        <w:t>4</w:t>
      </w:r>
    </w:p>
    <w:p w:rsidR="00AE2815" w:rsidRDefault="00AE2815" w:rsidP="00AE2815">
      <w:r>
        <w:t xml:space="preserve">The level of managerial hubris would have been decreased if Farrow bank had a truly ethical culture. If there existed such a situation where the board would meet and access the way things were preceding it would have been possible to rectify some of the managerial hubris. If </w:t>
      </w:r>
      <w:r>
        <w:lastRenderedPageBreak/>
        <w:t>the appointive authority appointed people who were capable of running the bank and making policies, managerial hubris would have been reducing. Ethical culture runs down from the way appointments are made to the way the bank was being run day by day (</w:t>
      </w:r>
      <w:proofErr w:type="spellStart"/>
      <w:r>
        <w:t>Tricker</w:t>
      </w:r>
      <w:proofErr w:type="spellEnd"/>
      <w:r>
        <w:t xml:space="preserve">&amp; </w:t>
      </w:r>
      <w:proofErr w:type="spellStart"/>
      <w:r>
        <w:t>Tricker</w:t>
      </w:r>
      <w:proofErr w:type="spellEnd"/>
      <w:r>
        <w:t>, 2015). It involves accessing your decisions and evaluating your past decisions to see whether they bore the desired outcome. When the desired outcome has not been realized as in the case of Farrow bank measures would have taken to correct the situation and avoid such decisions in future.</w:t>
      </w:r>
    </w:p>
    <w:p w:rsidR="00AE2815" w:rsidRDefault="00AE2815" w:rsidP="00AE2815">
      <w:r>
        <w:t>The bank could not have collapsed if the ethical culture had been observed.  Besides, if the populist decisions that Furrow made such as giving incentives and continued expansion of the bank could have been corrected the bank could have been saved. However, there existed no platform under which these issues could have been addressed.  If Furrow was not overly confident in his decisions, he would have assessed them and found that they were detrimental to the stability of the bank. On the other hand, all indications show that Furrow knew he was wrong. However, Furrow deliberately decided to conceal his failures so that he could save his face (Hollow, 2014).  It is also disturbing that Furrow failed to contract an external auditor to looks at the books of accounts which could have revealed massive doctoring of the financial statements. Agreeing that the son of the auditor to continue as the internal auditor even without the required education was another setback (Hollow, 2014). In a nutshell, if the ethical culture had been observed, the bank could not have been closed.</w:t>
      </w:r>
    </w:p>
    <w:p w:rsidR="00AE2815" w:rsidRDefault="00AE2815" w:rsidP="00AE2815"/>
    <w:p w:rsidR="00AE2815" w:rsidRDefault="00AE2815" w:rsidP="00AE2815"/>
    <w:p w:rsidR="0067258D" w:rsidRPr="00AE2815" w:rsidRDefault="00AE2815" w:rsidP="00AE2815">
      <w:pPr>
        <w:tabs>
          <w:tab w:val="left" w:pos="1605"/>
        </w:tabs>
        <w:sectPr w:rsidR="0067258D" w:rsidRPr="00AE2815" w:rsidSect="004C6B0D">
          <w:headerReference w:type="default" r:id="rId7"/>
          <w:headerReference w:type="first" r:id="rId8"/>
          <w:pgSz w:w="12240" w:h="15840"/>
          <w:pgMar w:top="1440" w:right="1440" w:bottom="1440" w:left="1440" w:header="720" w:footer="720" w:gutter="0"/>
          <w:cols w:space="720"/>
          <w:titlePg/>
          <w:docGrid w:linePitch="360"/>
        </w:sectPr>
      </w:pPr>
      <w:r>
        <w:tab/>
      </w:r>
    </w:p>
    <w:p w:rsidR="0067258D" w:rsidRPr="0067258D" w:rsidRDefault="0067258D" w:rsidP="00FC7F13">
      <w:pPr>
        <w:ind w:firstLine="0"/>
        <w:contextualSpacing/>
        <w:jc w:val="center"/>
      </w:pPr>
      <w:r w:rsidRPr="0067258D">
        <w:lastRenderedPageBreak/>
        <w:t>Reference</w:t>
      </w:r>
      <w:r w:rsidR="00AC7EA5">
        <w:t>s</w:t>
      </w:r>
    </w:p>
    <w:p w:rsidR="0067258D" w:rsidRPr="00E86FA7" w:rsidRDefault="0067258D" w:rsidP="0067258D">
      <w:pPr>
        <w:ind w:left="720" w:hanging="720"/>
        <w:contextualSpacing/>
        <w:rPr>
          <w:rFonts w:eastAsia="Times New Roman"/>
        </w:rPr>
      </w:pPr>
      <w:r w:rsidRPr="00E86FA7">
        <w:rPr>
          <w:rFonts w:eastAsia="Times New Roman"/>
        </w:rPr>
        <w:t>Hollow, M. (2014). The 1920 Farrow's Bank failure: a case of managerial hubris</w:t>
      </w:r>
      <w:proofErr w:type="gramStart"/>
      <w:r w:rsidRPr="00E86FA7">
        <w:rPr>
          <w:rFonts w:eastAsia="Times New Roman"/>
        </w:rPr>
        <w:t>?.</w:t>
      </w:r>
      <w:proofErr w:type="gramEnd"/>
      <w:r w:rsidRPr="00E86FA7">
        <w:rPr>
          <w:rFonts w:eastAsia="Times New Roman"/>
        </w:rPr>
        <w:t xml:space="preserve"> </w:t>
      </w:r>
      <w:r w:rsidRPr="00E86FA7">
        <w:rPr>
          <w:rFonts w:eastAsia="Times New Roman"/>
          <w:i/>
          <w:iCs/>
        </w:rPr>
        <w:t>Journal of Management History</w:t>
      </w:r>
      <w:r w:rsidRPr="00E86FA7">
        <w:rPr>
          <w:rFonts w:eastAsia="Times New Roman"/>
        </w:rPr>
        <w:t xml:space="preserve">, </w:t>
      </w:r>
      <w:r w:rsidRPr="00E86FA7">
        <w:rPr>
          <w:rFonts w:eastAsia="Times New Roman"/>
          <w:i/>
          <w:iCs/>
        </w:rPr>
        <w:t>20</w:t>
      </w:r>
      <w:r w:rsidRPr="00E86FA7">
        <w:rPr>
          <w:rFonts w:eastAsia="Times New Roman"/>
        </w:rPr>
        <w:t>(2), 164-178.</w:t>
      </w:r>
    </w:p>
    <w:p w:rsidR="0067258D" w:rsidRPr="00E86FA7" w:rsidRDefault="0067258D" w:rsidP="0067258D">
      <w:pPr>
        <w:ind w:left="720" w:hanging="720"/>
        <w:contextualSpacing/>
        <w:rPr>
          <w:rFonts w:eastAsia="Times New Roman"/>
        </w:rPr>
      </w:pPr>
      <w:r w:rsidRPr="00E86FA7">
        <w:rPr>
          <w:rFonts w:eastAsia="Times New Roman"/>
        </w:rPr>
        <w:t xml:space="preserve">Li, J., &amp; Tang, Y. I. (2010). CEO hubris and firm risk taking in China: The moderating role of managerial discretion. </w:t>
      </w:r>
      <w:r w:rsidRPr="00E86FA7">
        <w:rPr>
          <w:rFonts w:eastAsia="Times New Roman"/>
          <w:i/>
          <w:iCs/>
        </w:rPr>
        <w:t>Academy of Management Journal</w:t>
      </w:r>
      <w:r w:rsidRPr="00E86FA7">
        <w:rPr>
          <w:rFonts w:eastAsia="Times New Roman"/>
        </w:rPr>
        <w:t xml:space="preserve">, </w:t>
      </w:r>
      <w:r w:rsidRPr="00E86FA7">
        <w:rPr>
          <w:rFonts w:eastAsia="Times New Roman"/>
          <w:i/>
          <w:iCs/>
        </w:rPr>
        <w:t>53</w:t>
      </w:r>
      <w:r w:rsidRPr="00E86FA7">
        <w:rPr>
          <w:rFonts w:eastAsia="Times New Roman"/>
        </w:rPr>
        <w:t>(1), 45-68.</w:t>
      </w:r>
    </w:p>
    <w:p w:rsidR="0067258D" w:rsidRPr="00E86FA7" w:rsidRDefault="0067258D" w:rsidP="0067258D">
      <w:pPr>
        <w:ind w:left="720" w:hanging="720"/>
        <w:contextualSpacing/>
        <w:rPr>
          <w:rFonts w:eastAsia="Times New Roman"/>
        </w:rPr>
      </w:pPr>
      <w:proofErr w:type="spellStart"/>
      <w:r w:rsidRPr="00E86FA7">
        <w:rPr>
          <w:rFonts w:eastAsia="Times New Roman"/>
        </w:rPr>
        <w:t>Tricker</w:t>
      </w:r>
      <w:proofErr w:type="spellEnd"/>
      <w:r w:rsidRPr="00E86FA7">
        <w:rPr>
          <w:rFonts w:eastAsia="Times New Roman"/>
        </w:rPr>
        <w:t xml:space="preserve">, R. B., &amp; </w:t>
      </w:r>
      <w:proofErr w:type="spellStart"/>
      <w:r w:rsidRPr="00E86FA7">
        <w:rPr>
          <w:rFonts w:eastAsia="Times New Roman"/>
        </w:rPr>
        <w:t>Tricker</w:t>
      </w:r>
      <w:proofErr w:type="spellEnd"/>
      <w:r w:rsidRPr="00E86FA7">
        <w:rPr>
          <w:rFonts w:eastAsia="Times New Roman"/>
        </w:rPr>
        <w:t xml:space="preserve">, R. I. (2015). </w:t>
      </w:r>
      <w:r w:rsidRPr="00E86FA7">
        <w:rPr>
          <w:rFonts w:eastAsia="Times New Roman"/>
          <w:i/>
          <w:iCs/>
        </w:rPr>
        <w:t>Corporate governance: Principles, policies, and practices</w:t>
      </w:r>
      <w:r w:rsidRPr="00E86FA7">
        <w:rPr>
          <w:rFonts w:eastAsia="Times New Roman"/>
        </w:rPr>
        <w:t>. Oxford University Press, USA.</w:t>
      </w:r>
    </w:p>
    <w:p w:rsidR="0067258D" w:rsidRPr="0067258D" w:rsidRDefault="0067258D" w:rsidP="0067258D">
      <w:pPr>
        <w:contextualSpacing/>
      </w:pPr>
    </w:p>
    <w:sectPr w:rsidR="0067258D" w:rsidRPr="0067258D" w:rsidSect="00B433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5AF" w:rsidRDefault="002845AF" w:rsidP="00744968">
      <w:pPr>
        <w:spacing w:line="240" w:lineRule="auto"/>
      </w:pPr>
      <w:r>
        <w:separator/>
      </w:r>
    </w:p>
  </w:endnote>
  <w:endnote w:type="continuationSeparator" w:id="0">
    <w:p w:rsidR="002845AF" w:rsidRDefault="002845AF" w:rsidP="007449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5AF" w:rsidRDefault="002845AF" w:rsidP="00744968">
      <w:pPr>
        <w:spacing w:line="240" w:lineRule="auto"/>
      </w:pPr>
      <w:r>
        <w:separator/>
      </w:r>
    </w:p>
  </w:footnote>
  <w:footnote w:type="continuationSeparator" w:id="0">
    <w:p w:rsidR="002845AF" w:rsidRDefault="002845AF" w:rsidP="007449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F13" w:rsidRDefault="00FC7F13">
    <w:pPr>
      <w:pStyle w:val="Header"/>
      <w:jc w:val="right"/>
    </w:pPr>
    <w:r>
      <w:t xml:space="preserve">MANAGERIAL HUBRIS                                                                                                </w:t>
    </w:r>
    <w:sdt>
      <w:sdtPr>
        <w:id w:val="1176847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6B0D">
          <w:rPr>
            <w:noProof/>
          </w:rPr>
          <w:t>5</w:t>
        </w:r>
        <w:r>
          <w:rPr>
            <w:noProof/>
          </w:rPr>
          <w:fldChar w:fldCharType="end"/>
        </w:r>
      </w:sdtContent>
    </w:sdt>
  </w:p>
  <w:p w:rsidR="00744968" w:rsidRDefault="007449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B0D" w:rsidRDefault="004C6B0D">
    <w:pPr>
      <w:pStyle w:val="Header"/>
      <w:jc w:val="right"/>
    </w:pPr>
    <w:r>
      <w:t xml:space="preserve">Running head: </w:t>
    </w:r>
    <w:r>
      <w:t>MANAGERIAL HUBRIS</w:t>
    </w:r>
    <w:r>
      <w:t xml:space="preserve">                                                                         </w:t>
    </w:r>
    <w:sdt>
      <w:sdtPr>
        <w:id w:val="-11413433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44968" w:rsidRDefault="007449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558E0"/>
    <w:multiLevelType w:val="hybridMultilevel"/>
    <w:tmpl w:val="2870B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CE"/>
    <w:rsid w:val="00134301"/>
    <w:rsid w:val="001B5E07"/>
    <w:rsid w:val="00222FAF"/>
    <w:rsid w:val="00267D53"/>
    <w:rsid w:val="002845AF"/>
    <w:rsid w:val="002D47CE"/>
    <w:rsid w:val="00347A67"/>
    <w:rsid w:val="003543D6"/>
    <w:rsid w:val="00462F8B"/>
    <w:rsid w:val="00473B86"/>
    <w:rsid w:val="0049453B"/>
    <w:rsid w:val="004C6B0D"/>
    <w:rsid w:val="0051737A"/>
    <w:rsid w:val="00604F95"/>
    <w:rsid w:val="00622CF4"/>
    <w:rsid w:val="00671A10"/>
    <w:rsid w:val="0067258D"/>
    <w:rsid w:val="006E3368"/>
    <w:rsid w:val="00744968"/>
    <w:rsid w:val="007573EE"/>
    <w:rsid w:val="008B6AAF"/>
    <w:rsid w:val="0093799C"/>
    <w:rsid w:val="00983BE0"/>
    <w:rsid w:val="00990928"/>
    <w:rsid w:val="00A613A2"/>
    <w:rsid w:val="00A72B03"/>
    <w:rsid w:val="00A77D9A"/>
    <w:rsid w:val="00AC7EA5"/>
    <w:rsid w:val="00AD0EE4"/>
    <w:rsid w:val="00AE2815"/>
    <w:rsid w:val="00B14665"/>
    <w:rsid w:val="00B43325"/>
    <w:rsid w:val="00B56E36"/>
    <w:rsid w:val="00B83C50"/>
    <w:rsid w:val="00C46265"/>
    <w:rsid w:val="00D07A77"/>
    <w:rsid w:val="00D91DED"/>
    <w:rsid w:val="00E071C1"/>
    <w:rsid w:val="00E6551A"/>
    <w:rsid w:val="00EE77A0"/>
    <w:rsid w:val="00F13761"/>
    <w:rsid w:val="00F82C45"/>
    <w:rsid w:val="00FC7F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6FADEB-681C-4069-B4BC-1EB40B4C4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3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7CE"/>
    <w:pPr>
      <w:ind w:left="720"/>
      <w:contextualSpacing/>
    </w:pPr>
  </w:style>
  <w:style w:type="paragraph" w:styleId="Header">
    <w:name w:val="header"/>
    <w:basedOn w:val="Normal"/>
    <w:link w:val="HeaderChar"/>
    <w:uiPriority w:val="99"/>
    <w:unhideWhenUsed/>
    <w:rsid w:val="00744968"/>
    <w:pPr>
      <w:tabs>
        <w:tab w:val="center" w:pos="4680"/>
        <w:tab w:val="right" w:pos="9360"/>
      </w:tabs>
      <w:spacing w:line="240" w:lineRule="auto"/>
    </w:pPr>
  </w:style>
  <w:style w:type="character" w:customStyle="1" w:styleId="HeaderChar">
    <w:name w:val="Header Char"/>
    <w:basedOn w:val="DefaultParagraphFont"/>
    <w:link w:val="Header"/>
    <w:uiPriority w:val="99"/>
    <w:rsid w:val="00744968"/>
  </w:style>
  <w:style w:type="paragraph" w:styleId="Footer">
    <w:name w:val="footer"/>
    <w:basedOn w:val="Normal"/>
    <w:link w:val="FooterChar"/>
    <w:uiPriority w:val="99"/>
    <w:unhideWhenUsed/>
    <w:rsid w:val="00744968"/>
    <w:pPr>
      <w:tabs>
        <w:tab w:val="center" w:pos="4680"/>
        <w:tab w:val="right" w:pos="9360"/>
      </w:tabs>
      <w:spacing w:line="240" w:lineRule="auto"/>
    </w:pPr>
  </w:style>
  <w:style w:type="character" w:customStyle="1" w:styleId="FooterChar">
    <w:name w:val="Footer Char"/>
    <w:basedOn w:val="DefaultParagraphFont"/>
    <w:link w:val="Footer"/>
    <w:uiPriority w:val="99"/>
    <w:rsid w:val="00744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MURUNYU</dc:creator>
  <cp:lastModifiedBy>Windows User</cp:lastModifiedBy>
  <cp:revision>4</cp:revision>
  <dcterms:created xsi:type="dcterms:W3CDTF">2018-04-25T04:21:00Z</dcterms:created>
  <dcterms:modified xsi:type="dcterms:W3CDTF">2018-04-25T09:52:00Z</dcterms:modified>
</cp:coreProperties>
</file>